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64" w:rsidRPr="003C6C04" w:rsidRDefault="00595264" w:rsidP="0059526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C6C04">
        <w:rPr>
          <w:b/>
          <w:sz w:val="24"/>
          <w:szCs w:val="24"/>
        </w:rPr>
        <w:t>Offre de stage de Master</w:t>
      </w:r>
      <w:r w:rsidR="00B71FA3" w:rsidRPr="003C6C04">
        <w:rPr>
          <w:b/>
          <w:sz w:val="24"/>
          <w:szCs w:val="24"/>
        </w:rPr>
        <w:t xml:space="preserve"> IDIL</w:t>
      </w:r>
    </w:p>
    <w:p w:rsidR="00595264" w:rsidRPr="003C6C04" w:rsidRDefault="00595264">
      <w:pPr>
        <w:rPr>
          <w:b/>
          <w:sz w:val="24"/>
          <w:szCs w:val="24"/>
        </w:rPr>
      </w:pPr>
      <w:r w:rsidRPr="003C6C04">
        <w:rPr>
          <w:b/>
          <w:sz w:val="24"/>
          <w:szCs w:val="24"/>
        </w:rPr>
        <w:t>Identification des mécanismes moléculaires et cellulaires impliqués dans les effets santé des acides gras furaniques</w:t>
      </w:r>
    </w:p>
    <w:p w:rsidR="00595264" w:rsidRPr="0010770B" w:rsidRDefault="00595264">
      <w:pPr>
        <w:rPr>
          <w:b/>
        </w:rPr>
      </w:pPr>
    </w:p>
    <w:p w:rsidR="00595264" w:rsidRPr="0010770B" w:rsidRDefault="00595264" w:rsidP="00595264">
      <w:pPr>
        <w:spacing w:after="0"/>
      </w:pPr>
      <w:r w:rsidRPr="0010770B">
        <w:rPr>
          <w:b/>
        </w:rPr>
        <w:t>Encadrants :</w:t>
      </w:r>
      <w:r w:rsidRPr="0010770B">
        <w:tab/>
        <w:t xml:space="preserve">Christine </w:t>
      </w:r>
      <w:proofErr w:type="spellStart"/>
      <w:r w:rsidRPr="0010770B">
        <w:t>Feillet</w:t>
      </w:r>
      <w:proofErr w:type="spellEnd"/>
      <w:r w:rsidRPr="0010770B">
        <w:t>-Coudray, Directrice de Recherche INRAE</w:t>
      </w:r>
    </w:p>
    <w:p w:rsidR="00595264" w:rsidRPr="0010770B" w:rsidRDefault="00595264" w:rsidP="00595264">
      <w:pPr>
        <w:spacing w:after="0"/>
        <w:ind w:left="708" w:firstLine="708"/>
      </w:pPr>
      <w:r w:rsidRPr="0010770B">
        <w:t>François Casas, Directeur de Recherche INRAE</w:t>
      </w:r>
    </w:p>
    <w:p w:rsidR="00595264" w:rsidRPr="0010770B" w:rsidRDefault="00595264" w:rsidP="00595264"/>
    <w:p w:rsidR="00595264" w:rsidRPr="0010770B" w:rsidRDefault="00595264" w:rsidP="00595264">
      <w:r w:rsidRPr="0010770B">
        <w:t>Localisation : UMR DMEM (Dynamique du Muscle et Métabolisme), 2 Pl Pierre Viala, 340000 Montpellier</w:t>
      </w:r>
    </w:p>
    <w:p w:rsidR="00595264" w:rsidRPr="0010770B" w:rsidRDefault="00595264" w:rsidP="00595264">
      <w:pPr>
        <w:rPr>
          <w:rFonts w:cs="Arial"/>
          <w:color w:val="3366FF"/>
          <w:shd w:val="clear" w:color="auto" w:fill="FFFFFF"/>
        </w:rPr>
      </w:pPr>
      <w:r w:rsidRPr="0010770B">
        <w:t xml:space="preserve">Contact : </w:t>
      </w:r>
      <w:hyperlink r:id="rId5" w:history="1">
        <w:r w:rsidR="00E23C43" w:rsidRPr="0010770B">
          <w:rPr>
            <w:rStyle w:val="Lienhypertexte"/>
            <w:rFonts w:cs="Arial"/>
            <w:shd w:val="clear" w:color="auto" w:fill="FFFFFF"/>
          </w:rPr>
          <w:t>christine.coudray@inrae.fr</w:t>
        </w:r>
      </w:hyperlink>
      <w:r w:rsidR="00E23C43" w:rsidRPr="0010770B">
        <w:rPr>
          <w:rFonts w:cs="Arial"/>
          <w:color w:val="3366FF"/>
          <w:shd w:val="clear" w:color="auto" w:fill="FFFFFF"/>
        </w:rPr>
        <w:t>;</w:t>
      </w:r>
      <w:r w:rsidR="00E23C43" w:rsidRPr="0010770B">
        <w:t xml:space="preserve"> </w:t>
      </w:r>
      <w:hyperlink r:id="rId6" w:history="1">
        <w:r w:rsidR="00E23C43" w:rsidRPr="0010770B">
          <w:rPr>
            <w:rStyle w:val="Lienhypertexte"/>
            <w:rFonts w:cs="Arial"/>
            <w:shd w:val="clear" w:color="auto" w:fill="FFFFFF"/>
          </w:rPr>
          <w:t>francois.casas@inrae.fr</w:t>
        </w:r>
      </w:hyperlink>
    </w:p>
    <w:p w:rsidR="00E23C43" w:rsidRPr="0010770B" w:rsidRDefault="00E23C43" w:rsidP="00595264">
      <w:pPr>
        <w:rPr>
          <w:rFonts w:cs="Arial"/>
          <w:color w:val="3366FF"/>
          <w:shd w:val="clear" w:color="auto" w:fill="FFFFFF"/>
        </w:rPr>
      </w:pPr>
    </w:p>
    <w:p w:rsidR="00E23C43" w:rsidRPr="0010770B" w:rsidRDefault="00B71FA3" w:rsidP="00595264">
      <w:pPr>
        <w:rPr>
          <w:b/>
        </w:rPr>
      </w:pPr>
      <w:r w:rsidRPr="0010770B">
        <w:rPr>
          <w:b/>
        </w:rPr>
        <w:t>Contexte :</w:t>
      </w:r>
    </w:p>
    <w:p w:rsidR="00A62742" w:rsidRPr="0010770B" w:rsidRDefault="00C00082" w:rsidP="00B6070F">
      <w:pPr>
        <w:spacing w:after="0" w:line="240" w:lineRule="auto"/>
        <w:ind w:firstLine="708"/>
        <w:jc w:val="both"/>
      </w:pPr>
      <w:r w:rsidRPr="0010770B">
        <w:t xml:space="preserve">Les acides gras </w:t>
      </w:r>
      <w:proofErr w:type="spellStart"/>
      <w:r w:rsidRPr="0010770B">
        <w:t>furaniques</w:t>
      </w:r>
      <w:proofErr w:type="spellEnd"/>
      <w:r w:rsidRPr="0010770B">
        <w:t xml:space="preserve"> (</w:t>
      </w:r>
      <w:proofErr w:type="spellStart"/>
      <w:r w:rsidRPr="0010770B">
        <w:t>FuFAs</w:t>
      </w:r>
      <w:proofErr w:type="spellEnd"/>
      <w:r w:rsidRPr="0010770B">
        <w:t xml:space="preserve">) sont des acides gras synthétisés par des plantes et des bactéries à partir d’acides gras polyinsaturés. Chez l’homme et l’animal ils seraient introduits par l’alimentation sous différentes formes selon la source. Les </w:t>
      </w:r>
      <w:proofErr w:type="spellStart"/>
      <w:r w:rsidRPr="0010770B">
        <w:t>FuFAs</w:t>
      </w:r>
      <w:proofErr w:type="spellEnd"/>
      <w:r w:rsidRPr="0010770B">
        <w:t xml:space="preserve"> possèdent plusieurs propriétés métaboliques démontrées au niveau cellulaire ou chez l’animal. Dans la littérature, les </w:t>
      </w:r>
      <w:proofErr w:type="spellStart"/>
      <w:r w:rsidRPr="0010770B">
        <w:t>FuFAs</w:t>
      </w:r>
      <w:proofErr w:type="spellEnd"/>
      <w:r w:rsidRPr="0010770B">
        <w:t xml:space="preserve"> sont connus pour leurs propriétés antioxydantes de par la conformation de leur anneau furane leurs permettant de piéger les radicaux libres inhibant ainsi l’oxydation d’autres acides gras ; leurs effets anti-microbiens en agissant par exemple contre Escherichia Coli et Staphylococcus Aureus et leurs effets anti inflammatoires en majorant l’expression de l’adiponectine, protéine aux effets a</w:t>
      </w:r>
      <w:r w:rsidR="00A62742" w:rsidRPr="0010770B">
        <w:t>nti-inflammatoires démontrés.</w:t>
      </w:r>
      <w:r w:rsidRPr="0010770B">
        <w:t xml:space="preserve"> </w:t>
      </w:r>
    </w:p>
    <w:p w:rsidR="00B6070F" w:rsidRPr="0010770B" w:rsidRDefault="00A517EE" w:rsidP="00B6070F">
      <w:pPr>
        <w:spacing w:after="0" w:line="240" w:lineRule="auto"/>
        <w:ind w:firstLine="708"/>
        <w:jc w:val="both"/>
        <w:rPr>
          <w:spacing w:val="-2"/>
        </w:rPr>
      </w:pPr>
      <w:r w:rsidRPr="0010770B">
        <w:t xml:space="preserve">Les travaux du laboratoire sur cellules musculaires C2C12 et chez la souris saine ou obèse sont les premiers à démontrer que les </w:t>
      </w:r>
      <w:proofErr w:type="spellStart"/>
      <w:r w:rsidRPr="0010770B">
        <w:t>FuFAs</w:t>
      </w:r>
      <w:proofErr w:type="spellEnd"/>
      <w:r w:rsidRPr="0010770B">
        <w:t xml:space="preserve"> améliorent la sensibilité à l'insuline, augmentent l’anabolisme musculaire, et réduisent la stéatose hépatique (Dore et al. 2023, Pelletier et al </w:t>
      </w:r>
      <w:r w:rsidR="00723E0C" w:rsidRPr="00723E0C">
        <w:rPr>
          <w:i/>
        </w:rPr>
        <w:t xml:space="preserve">in </w:t>
      </w:r>
      <w:proofErr w:type="spellStart"/>
      <w:r w:rsidR="00723E0C" w:rsidRPr="00723E0C">
        <w:rPr>
          <w:i/>
        </w:rPr>
        <w:t>revision</w:t>
      </w:r>
      <w:proofErr w:type="spellEnd"/>
      <w:r w:rsidRPr="0010770B">
        <w:t xml:space="preserve">). Les effets des </w:t>
      </w:r>
      <w:proofErr w:type="spellStart"/>
      <w:r w:rsidRPr="0010770B">
        <w:t>FuFAs</w:t>
      </w:r>
      <w:proofErr w:type="spellEnd"/>
      <w:r w:rsidRPr="0010770B">
        <w:t xml:space="preserve"> sur le muscle ont fait l’objet d’un dépôt de brevet européen en collaboration avec la SATT </w:t>
      </w:r>
      <w:proofErr w:type="spellStart"/>
      <w:r w:rsidRPr="0010770B">
        <w:t>AxLR</w:t>
      </w:r>
      <w:proofErr w:type="spellEnd"/>
      <w:r w:rsidRPr="0010770B">
        <w:t xml:space="preserve"> de Montpellier.</w:t>
      </w:r>
      <w:r w:rsidR="00B6070F" w:rsidRPr="0010770B">
        <w:t xml:space="preserve"> </w:t>
      </w:r>
      <w:r w:rsidR="00650899">
        <w:t xml:space="preserve">L’ensemble de ces travaux s’inscrit dans le cadre du consortium </w:t>
      </w:r>
      <w:proofErr w:type="spellStart"/>
      <w:r w:rsidR="00650899">
        <w:t>FuFActive</w:t>
      </w:r>
      <w:proofErr w:type="spellEnd"/>
      <w:r w:rsidR="00650899">
        <w:t xml:space="preserve"> porté par le CIRAD et incluant l’INRAE, le CNRS, l’INSERM et le CHU.</w:t>
      </w:r>
    </w:p>
    <w:p w:rsidR="00B71FA3" w:rsidRPr="0010770B" w:rsidRDefault="00B6070F" w:rsidP="00B6070F">
      <w:pPr>
        <w:spacing w:after="0" w:line="240" w:lineRule="auto"/>
        <w:ind w:firstLine="708"/>
        <w:jc w:val="both"/>
        <w:rPr>
          <w:spacing w:val="-2"/>
        </w:rPr>
      </w:pPr>
      <w:r w:rsidRPr="0010770B">
        <w:rPr>
          <w:spacing w:val="-2"/>
        </w:rPr>
        <w:t xml:space="preserve">Les mécanismes </w:t>
      </w:r>
      <w:r w:rsidR="002244A4" w:rsidRPr="0010770B">
        <w:rPr>
          <w:spacing w:val="-2"/>
        </w:rPr>
        <w:t xml:space="preserve">cellulaires </w:t>
      </w:r>
      <w:r w:rsidR="002244A4">
        <w:rPr>
          <w:spacing w:val="-2"/>
        </w:rPr>
        <w:t xml:space="preserve">et </w:t>
      </w:r>
      <w:r w:rsidRPr="0010770B">
        <w:rPr>
          <w:spacing w:val="-2"/>
        </w:rPr>
        <w:t xml:space="preserve">moléculaires impliqués dans ces effets métaboliques des </w:t>
      </w:r>
      <w:proofErr w:type="spellStart"/>
      <w:r w:rsidRPr="0010770B">
        <w:rPr>
          <w:spacing w:val="-2"/>
        </w:rPr>
        <w:t>FuFAs</w:t>
      </w:r>
      <w:proofErr w:type="spellEnd"/>
      <w:r w:rsidRPr="0010770B">
        <w:rPr>
          <w:spacing w:val="-2"/>
        </w:rPr>
        <w:t xml:space="preserve"> sont à l’heure </w:t>
      </w:r>
      <w:r w:rsidRPr="0010770B">
        <w:t xml:space="preserve">mal identifiés et </w:t>
      </w:r>
      <w:r w:rsidR="00B71FA3" w:rsidRPr="0010770B">
        <w:t>reste</w:t>
      </w:r>
      <w:r w:rsidRPr="0010770B">
        <w:t>nt</w:t>
      </w:r>
      <w:r w:rsidR="00B71FA3" w:rsidRPr="0010770B">
        <w:t xml:space="preserve"> important à déterminer dans l’optique de la mise en place de stratégies thérapeutiques chez l’Homme</w:t>
      </w:r>
      <w:r w:rsidR="00A517EE" w:rsidRPr="0010770B">
        <w:t xml:space="preserve">, en particulier lors de situation de sarcopénie (obésité, vieillissement, immobilisation prolongée) ou de </w:t>
      </w:r>
      <w:proofErr w:type="spellStart"/>
      <w:r w:rsidR="00A517EE" w:rsidRPr="0010770B">
        <w:t>cachéxie</w:t>
      </w:r>
      <w:proofErr w:type="spellEnd"/>
      <w:r w:rsidR="00A517EE" w:rsidRPr="0010770B">
        <w:t xml:space="preserve"> (cancer)</w:t>
      </w:r>
      <w:r w:rsidR="00B71FA3" w:rsidRPr="0010770B">
        <w:t>.</w:t>
      </w:r>
    </w:p>
    <w:p w:rsidR="00E23C43" w:rsidRPr="0010770B" w:rsidRDefault="00E23C43" w:rsidP="00595264"/>
    <w:p w:rsidR="00595264" w:rsidRPr="0010770B" w:rsidRDefault="00A62742" w:rsidP="00595264">
      <w:pPr>
        <w:rPr>
          <w:b/>
        </w:rPr>
      </w:pPr>
      <w:r w:rsidRPr="0010770B">
        <w:rPr>
          <w:b/>
        </w:rPr>
        <w:t>Objectifs :</w:t>
      </w:r>
    </w:p>
    <w:p w:rsidR="002244A4" w:rsidRDefault="002244A4" w:rsidP="008826BF">
      <w:pPr>
        <w:jc w:val="both"/>
      </w:pPr>
      <w:r>
        <w:t xml:space="preserve">Afin d’identifier les voies d’actions cellulaires et moléculaires des </w:t>
      </w:r>
      <w:proofErr w:type="spellStart"/>
      <w:r>
        <w:t>FuFAs</w:t>
      </w:r>
      <w:proofErr w:type="spellEnd"/>
      <w:r>
        <w:t xml:space="preserve"> nous utiliserons la lignée </w:t>
      </w:r>
      <w:r w:rsidR="008826BF" w:rsidRPr="008826BF">
        <w:t>cellulaire C2C12</w:t>
      </w:r>
      <w:r>
        <w:t>. N</w:t>
      </w:r>
      <w:r w:rsidR="008826BF" w:rsidRPr="008826BF">
        <w:t xml:space="preserve">ous </w:t>
      </w:r>
      <w:r>
        <w:t xml:space="preserve">chercherons notamment à identifier les récepteurs membranaires aux acides gras spécifiques des </w:t>
      </w:r>
      <w:proofErr w:type="spellStart"/>
      <w:r>
        <w:t>FuFAs</w:t>
      </w:r>
      <w:proofErr w:type="spellEnd"/>
      <w:r>
        <w:t>, les voies d’actions intracellulaires et les gènes cibles.</w:t>
      </w:r>
    </w:p>
    <w:p w:rsidR="00C753D3" w:rsidRDefault="002244A4" w:rsidP="00610770">
      <w:pPr>
        <w:spacing w:after="0"/>
        <w:jc w:val="both"/>
      </w:pPr>
      <w:r>
        <w:t xml:space="preserve">Dans ce but nous </w:t>
      </w:r>
      <w:r w:rsidR="008826BF" w:rsidRPr="008826BF">
        <w:t>étudierons</w:t>
      </w:r>
      <w:r w:rsidR="00C753D3">
        <w:t> :</w:t>
      </w:r>
    </w:p>
    <w:p w:rsidR="00C753D3" w:rsidRDefault="00C753D3" w:rsidP="00610770">
      <w:pPr>
        <w:spacing w:after="0"/>
        <w:ind w:firstLine="708"/>
        <w:jc w:val="both"/>
        <w:rPr>
          <w:bCs/>
          <w:color w:val="000000" w:themeColor="text1"/>
        </w:rPr>
      </w:pPr>
      <w:r>
        <w:t>-</w:t>
      </w:r>
      <w:r w:rsidR="008826BF" w:rsidRPr="008826BF">
        <w:rPr>
          <w:bCs/>
        </w:rPr>
        <w:t>l’influence de différent</w:t>
      </w:r>
      <w:r w:rsidR="008826BF">
        <w:rPr>
          <w:bCs/>
        </w:rPr>
        <w:t>s agonistes et antagonistes de</w:t>
      </w:r>
      <w:r w:rsidR="008826BF" w:rsidRPr="008826BF">
        <w:rPr>
          <w:bCs/>
        </w:rPr>
        <w:t xml:space="preserve"> récepteurs </w:t>
      </w:r>
      <w:r w:rsidR="008826BF">
        <w:rPr>
          <w:bCs/>
        </w:rPr>
        <w:t xml:space="preserve">des </w:t>
      </w:r>
      <w:r w:rsidR="008826BF" w:rsidRPr="008826BF">
        <w:rPr>
          <w:bCs/>
        </w:rPr>
        <w:t xml:space="preserve">acides gras </w:t>
      </w:r>
      <w:r w:rsidR="002244A4">
        <w:rPr>
          <w:bCs/>
        </w:rPr>
        <w:t xml:space="preserve">membranaires </w:t>
      </w:r>
      <w:r w:rsidR="008826BF" w:rsidRPr="008826BF">
        <w:rPr>
          <w:bCs/>
        </w:rPr>
        <w:t>(GPR40, GPR41, GPR43, GPR119 et GPR120)</w:t>
      </w:r>
      <w:r w:rsidR="008826BF">
        <w:rPr>
          <w:b/>
          <w:bCs/>
        </w:rPr>
        <w:t xml:space="preserve"> </w:t>
      </w:r>
      <w:r w:rsidR="008826BF">
        <w:rPr>
          <w:bCs/>
        </w:rPr>
        <w:t>qu</w:t>
      </w:r>
      <w:r w:rsidR="008826BF" w:rsidRPr="008826BF">
        <w:rPr>
          <w:bCs/>
        </w:rPr>
        <w:t xml:space="preserve">i </w:t>
      </w:r>
      <w:r w:rsidR="008826BF">
        <w:rPr>
          <w:bCs/>
        </w:rPr>
        <w:t>pourraient être impliqués dans la signalisation cellul</w:t>
      </w:r>
      <w:r w:rsidR="001544C3">
        <w:rPr>
          <w:bCs/>
        </w:rPr>
        <w:t xml:space="preserve">aire des </w:t>
      </w:r>
      <w:proofErr w:type="spellStart"/>
      <w:r w:rsidR="001544C3">
        <w:rPr>
          <w:bCs/>
        </w:rPr>
        <w:t>FuFAs</w:t>
      </w:r>
      <w:proofErr w:type="spellEnd"/>
      <w:r w:rsidR="001544C3">
        <w:rPr>
          <w:bCs/>
        </w:rPr>
        <w:t>,</w:t>
      </w:r>
      <w:r w:rsidRPr="00C753D3">
        <w:rPr>
          <w:bCs/>
          <w:color w:val="000000" w:themeColor="text1"/>
        </w:rPr>
        <w:t xml:space="preserve"> </w:t>
      </w:r>
    </w:p>
    <w:p w:rsidR="00C753D3" w:rsidRDefault="00C753D3" w:rsidP="00610770">
      <w:pPr>
        <w:spacing w:after="0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</w:t>
      </w:r>
      <w:r w:rsidR="001544C3">
        <w:rPr>
          <w:bCs/>
          <w:color w:val="000000" w:themeColor="text1"/>
        </w:rPr>
        <w:t xml:space="preserve">la modulation par différentes molécules de </w:t>
      </w:r>
      <w:proofErr w:type="spellStart"/>
      <w:r w:rsidR="001544C3">
        <w:rPr>
          <w:bCs/>
          <w:color w:val="000000" w:themeColor="text1"/>
        </w:rPr>
        <w:t>FuFAs</w:t>
      </w:r>
      <w:proofErr w:type="spellEnd"/>
      <w:r w:rsidR="001544C3">
        <w:rPr>
          <w:bCs/>
          <w:color w:val="000000" w:themeColor="text1"/>
        </w:rPr>
        <w:t xml:space="preserve"> des</w:t>
      </w:r>
      <w:r>
        <w:rPr>
          <w:bCs/>
          <w:color w:val="000000" w:themeColor="text1"/>
        </w:rPr>
        <w:t xml:space="preserve"> voies de signalisation </w:t>
      </w:r>
      <w:r w:rsidR="001544C3">
        <w:rPr>
          <w:bCs/>
          <w:color w:val="000000" w:themeColor="text1"/>
        </w:rPr>
        <w:t>impliquées dans</w:t>
      </w:r>
      <w:r>
        <w:rPr>
          <w:bCs/>
          <w:color w:val="000000" w:themeColor="text1"/>
        </w:rPr>
        <w:t xml:space="preserve"> </w:t>
      </w:r>
      <w:r w:rsidR="001544C3">
        <w:rPr>
          <w:bCs/>
          <w:color w:val="000000" w:themeColor="text1"/>
        </w:rPr>
        <w:t>l’anabolisme</w:t>
      </w:r>
      <w:r>
        <w:rPr>
          <w:bCs/>
          <w:color w:val="000000" w:themeColor="text1"/>
        </w:rPr>
        <w:t xml:space="preserve"> musculaire, de l’insuline, de l’inflammation, du métabolisme des lipides </w:t>
      </w:r>
      <w:r w:rsidR="001544C3">
        <w:rPr>
          <w:bCs/>
          <w:color w:val="000000" w:themeColor="text1"/>
        </w:rPr>
        <w:t>et du stress oxydant</w:t>
      </w:r>
      <w:r w:rsidR="002244A4">
        <w:rPr>
          <w:bCs/>
          <w:color w:val="000000" w:themeColor="text1"/>
        </w:rPr>
        <w:t>.</w:t>
      </w:r>
    </w:p>
    <w:p w:rsidR="00A62742" w:rsidRDefault="001544C3" w:rsidP="00610770">
      <w:pPr>
        <w:spacing w:after="0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-</w:t>
      </w:r>
      <w:r w:rsidR="002244A4">
        <w:rPr>
          <w:bCs/>
          <w:color w:val="000000" w:themeColor="text1"/>
        </w:rPr>
        <w:t>Par ailleurs, sur la base d’une analyse transcriptomique que nous allons réaliser sur mu</w:t>
      </w:r>
      <w:r w:rsidR="00837D0A">
        <w:rPr>
          <w:bCs/>
          <w:color w:val="000000" w:themeColor="text1"/>
        </w:rPr>
        <w:t xml:space="preserve">scle de souris, nous chercherons à identifier les gènes cibles des </w:t>
      </w:r>
      <w:proofErr w:type="spellStart"/>
      <w:r w:rsidR="00837D0A">
        <w:rPr>
          <w:bCs/>
          <w:color w:val="000000" w:themeColor="text1"/>
        </w:rPr>
        <w:t>FuFAs</w:t>
      </w:r>
      <w:proofErr w:type="spellEnd"/>
      <w:r w:rsidR="00837D0A">
        <w:rPr>
          <w:bCs/>
          <w:color w:val="000000" w:themeColor="text1"/>
        </w:rPr>
        <w:t>.</w:t>
      </w:r>
    </w:p>
    <w:p w:rsidR="00CB32DE" w:rsidRDefault="00CB32DE" w:rsidP="00610770">
      <w:pPr>
        <w:spacing w:after="0"/>
        <w:ind w:firstLine="708"/>
        <w:jc w:val="both"/>
        <w:rPr>
          <w:bCs/>
          <w:color w:val="000000" w:themeColor="text1"/>
        </w:rPr>
      </w:pPr>
    </w:p>
    <w:p w:rsidR="001544C3" w:rsidRDefault="00837D0A" w:rsidP="00DC1613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Ce projet s’appuiera sur différentes techniques : </w:t>
      </w:r>
      <w:r w:rsidR="001544C3">
        <w:rPr>
          <w:bCs/>
          <w:color w:val="000000" w:themeColor="text1"/>
        </w:rPr>
        <w:t>culture</w:t>
      </w:r>
      <w:r>
        <w:rPr>
          <w:bCs/>
          <w:color w:val="000000" w:themeColor="text1"/>
        </w:rPr>
        <w:t xml:space="preserve"> cellulaire, </w:t>
      </w:r>
      <w:proofErr w:type="spellStart"/>
      <w:r>
        <w:rPr>
          <w:bCs/>
          <w:color w:val="000000" w:themeColor="text1"/>
        </w:rPr>
        <w:t>cyto</w:t>
      </w:r>
      <w:proofErr w:type="spellEnd"/>
      <w:r>
        <w:rPr>
          <w:bCs/>
          <w:color w:val="000000" w:themeColor="text1"/>
        </w:rPr>
        <w:t>-immunofluorescence, W</w:t>
      </w:r>
      <w:r w:rsidR="001544C3">
        <w:rPr>
          <w:bCs/>
          <w:color w:val="000000" w:themeColor="text1"/>
        </w:rPr>
        <w:t>estern</w:t>
      </w:r>
      <w:r>
        <w:rPr>
          <w:bCs/>
          <w:color w:val="000000" w:themeColor="text1"/>
        </w:rPr>
        <w:t>-</w:t>
      </w:r>
      <w:r w:rsidR="001544C3">
        <w:rPr>
          <w:bCs/>
          <w:color w:val="000000" w:themeColor="text1"/>
        </w:rPr>
        <w:t>blot</w:t>
      </w:r>
      <w:r>
        <w:rPr>
          <w:bCs/>
          <w:color w:val="000000" w:themeColor="text1"/>
        </w:rPr>
        <w:t xml:space="preserve">, </w:t>
      </w:r>
      <w:proofErr w:type="spellStart"/>
      <w:r w:rsidR="001544C3">
        <w:rPr>
          <w:bCs/>
          <w:color w:val="000000" w:themeColor="text1"/>
        </w:rPr>
        <w:t>qPCR</w:t>
      </w:r>
      <w:proofErr w:type="spellEnd"/>
      <w:r w:rsidR="001544C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etc…</w:t>
      </w:r>
    </w:p>
    <w:p w:rsidR="00DC1613" w:rsidRPr="001544C3" w:rsidRDefault="00DC1613" w:rsidP="00DC1613">
      <w:pPr>
        <w:jc w:val="both"/>
        <w:rPr>
          <w:bCs/>
          <w:color w:val="000000" w:themeColor="text1"/>
        </w:rPr>
      </w:pPr>
    </w:p>
    <w:p w:rsidR="00A62742" w:rsidRPr="0010770B" w:rsidRDefault="00A62742" w:rsidP="00595264">
      <w:pPr>
        <w:rPr>
          <w:b/>
        </w:rPr>
      </w:pPr>
      <w:r w:rsidRPr="0010770B">
        <w:rPr>
          <w:b/>
        </w:rPr>
        <w:t>Compétences requises :</w:t>
      </w:r>
    </w:p>
    <w:p w:rsidR="00A62742" w:rsidRPr="0010770B" w:rsidRDefault="00A62742" w:rsidP="00A62742">
      <w:pPr>
        <w:spacing w:after="0"/>
      </w:pPr>
      <w:r w:rsidRPr="0010770B">
        <w:t>Compétences en biochimie et physiologie.</w:t>
      </w:r>
    </w:p>
    <w:p w:rsidR="00A62742" w:rsidRPr="0010770B" w:rsidRDefault="00A62742" w:rsidP="00A62742">
      <w:pPr>
        <w:spacing w:after="0"/>
      </w:pPr>
      <w:r w:rsidRPr="0010770B">
        <w:t>Intérêt pour la biologie moléculaire et cellulaire.</w:t>
      </w:r>
      <w:r w:rsidRPr="0010770B">
        <w:br/>
      </w:r>
    </w:p>
    <w:p w:rsidR="00A62742" w:rsidRPr="007069C7" w:rsidRDefault="00A62742" w:rsidP="00595264">
      <w:pPr>
        <w:rPr>
          <w:b/>
          <w:lang w:val="en-GB"/>
        </w:rPr>
      </w:pPr>
      <w:proofErr w:type="spellStart"/>
      <w:proofErr w:type="gramStart"/>
      <w:r w:rsidRPr="007069C7">
        <w:rPr>
          <w:b/>
          <w:lang w:val="en-GB"/>
        </w:rPr>
        <w:t>Références</w:t>
      </w:r>
      <w:proofErr w:type="spellEnd"/>
      <w:r w:rsidRPr="007069C7">
        <w:rPr>
          <w:b/>
          <w:lang w:val="en-GB"/>
        </w:rPr>
        <w:t> :</w:t>
      </w:r>
      <w:proofErr w:type="gramEnd"/>
    </w:p>
    <w:p w:rsidR="0010770B" w:rsidRDefault="00A62742" w:rsidP="0010770B">
      <w:pPr>
        <w:jc w:val="both"/>
        <w:rPr>
          <w:rFonts w:eastAsia="Times New Roman" w:cs="Times New Roman"/>
          <w:lang w:val="en-GB" w:eastAsia="fr-FR"/>
        </w:rPr>
      </w:pPr>
      <w:r w:rsidRPr="007069C7">
        <w:rPr>
          <w:lang w:val="en-GB"/>
        </w:rPr>
        <w:t xml:space="preserve">Dore et al. </w:t>
      </w:r>
      <w:r w:rsidR="0010770B" w:rsidRPr="0010770B">
        <w:rPr>
          <w:lang w:val="en-GB"/>
        </w:rPr>
        <w:t xml:space="preserve">Preventive nutritional supplementation with furan fatty acid in a DIO mouse model increases muscle mass and reduces metabolic disorders </w:t>
      </w:r>
      <w:r w:rsidRPr="0010770B">
        <w:rPr>
          <w:rFonts w:eastAsia="Times New Roman" w:cs="Times New Roman"/>
          <w:lang w:val="en-GB" w:eastAsia="fr-FR"/>
        </w:rPr>
        <w:t xml:space="preserve">Biomed </w:t>
      </w:r>
      <w:proofErr w:type="spellStart"/>
      <w:r w:rsidRPr="0010770B">
        <w:rPr>
          <w:rFonts w:eastAsia="Times New Roman" w:cs="Times New Roman"/>
          <w:lang w:val="en-GB" w:eastAsia="fr-FR"/>
        </w:rPr>
        <w:t>Pharmacother</w:t>
      </w:r>
      <w:proofErr w:type="spellEnd"/>
      <w:r w:rsidRPr="0010770B">
        <w:rPr>
          <w:rFonts w:eastAsia="Times New Roman" w:cs="Times New Roman"/>
          <w:lang w:val="en-GB" w:eastAsia="fr-FR"/>
        </w:rPr>
        <w:t xml:space="preserve">. 2023 </w:t>
      </w:r>
      <w:proofErr w:type="gramStart"/>
      <w:r w:rsidRPr="0010770B">
        <w:rPr>
          <w:rFonts w:eastAsia="Times New Roman" w:cs="Times New Roman"/>
          <w:lang w:val="en-GB" w:eastAsia="fr-FR"/>
        </w:rPr>
        <w:t>Aug;164:114945</w:t>
      </w:r>
      <w:proofErr w:type="gramEnd"/>
      <w:r w:rsidRPr="0010770B">
        <w:rPr>
          <w:rFonts w:eastAsia="Times New Roman" w:cs="Times New Roman"/>
          <w:lang w:val="en-GB" w:eastAsia="fr-FR"/>
        </w:rPr>
        <w:t>.</w:t>
      </w:r>
      <w:r w:rsidRPr="00A62742">
        <w:rPr>
          <w:rFonts w:eastAsia="Times New Roman" w:cs="Times New Roman"/>
          <w:lang w:val="en-GB" w:eastAsia="fr-FR"/>
        </w:rPr>
        <w:t xml:space="preserve"> </w:t>
      </w:r>
    </w:p>
    <w:p w:rsidR="009C26B7" w:rsidRPr="00A62742" w:rsidRDefault="009C26B7" w:rsidP="0010770B">
      <w:pPr>
        <w:jc w:val="both"/>
        <w:rPr>
          <w:rFonts w:eastAsia="Times New Roman" w:cs="Times New Roman"/>
          <w:lang w:val="en-GB" w:eastAsia="fr-FR"/>
        </w:rPr>
      </w:pPr>
      <w:r w:rsidRPr="0010770B">
        <w:rPr>
          <w:rFonts w:eastAsia="Times New Roman" w:cs="Times New Roman"/>
          <w:lang w:val="en-GB" w:eastAsia="fr-FR"/>
        </w:rPr>
        <w:t xml:space="preserve">Pelletier et al. </w:t>
      </w:r>
      <w:r w:rsidR="0010770B" w:rsidRPr="0010770B">
        <w:rPr>
          <w:rFonts w:eastAsia="Times New Roman" w:cs="Times New Roman"/>
          <w:lang w:val="en-GB" w:eastAsia="fr-FR"/>
        </w:rPr>
        <w:t xml:space="preserve">Furan fatty acid extracted from </w:t>
      </w:r>
      <w:proofErr w:type="spellStart"/>
      <w:r w:rsidR="0010770B" w:rsidRPr="0010770B">
        <w:rPr>
          <w:rFonts w:eastAsia="Times New Roman" w:cs="Times New Roman"/>
          <w:lang w:val="en-GB" w:eastAsia="fr-FR"/>
        </w:rPr>
        <w:t>Hevea</w:t>
      </w:r>
      <w:proofErr w:type="spellEnd"/>
      <w:r w:rsidR="0010770B" w:rsidRPr="0010770B">
        <w:rPr>
          <w:rFonts w:eastAsia="Times New Roman" w:cs="Times New Roman"/>
          <w:lang w:val="en-GB" w:eastAsia="fr-FR"/>
        </w:rPr>
        <w:t xml:space="preserve"> </w:t>
      </w:r>
      <w:proofErr w:type="spellStart"/>
      <w:r w:rsidR="0010770B" w:rsidRPr="0010770B">
        <w:rPr>
          <w:rFonts w:eastAsia="Times New Roman" w:cs="Times New Roman"/>
          <w:lang w:val="en-GB" w:eastAsia="fr-FR"/>
        </w:rPr>
        <w:t>brasiliensis</w:t>
      </w:r>
      <w:proofErr w:type="spellEnd"/>
      <w:r w:rsidR="0010770B" w:rsidRPr="0010770B">
        <w:rPr>
          <w:rFonts w:eastAsia="Times New Roman" w:cs="Times New Roman"/>
          <w:lang w:val="en-GB" w:eastAsia="fr-FR"/>
        </w:rPr>
        <w:t xml:space="preserve"> latex increases muscle mass in mice</w:t>
      </w:r>
      <w:r w:rsidR="00FF6263">
        <w:rPr>
          <w:rFonts w:eastAsia="Times New Roman" w:cs="Times New Roman"/>
          <w:lang w:val="en-GB" w:eastAsia="fr-FR"/>
        </w:rPr>
        <w:t xml:space="preserve">. </w:t>
      </w:r>
      <w:r w:rsidRPr="0010770B">
        <w:rPr>
          <w:rFonts w:eastAsia="Times New Roman" w:cs="Times New Roman"/>
          <w:lang w:val="en-GB" w:eastAsia="fr-FR"/>
        </w:rPr>
        <w:t xml:space="preserve">Biomed </w:t>
      </w:r>
      <w:proofErr w:type="spellStart"/>
      <w:r w:rsidRPr="0010770B">
        <w:rPr>
          <w:rFonts w:eastAsia="Times New Roman" w:cs="Times New Roman"/>
          <w:lang w:val="en-GB" w:eastAsia="fr-FR"/>
        </w:rPr>
        <w:t>Pharmacother</w:t>
      </w:r>
      <w:proofErr w:type="spellEnd"/>
      <w:r w:rsidRPr="0010770B">
        <w:rPr>
          <w:rFonts w:eastAsia="Times New Roman" w:cs="Times New Roman"/>
          <w:lang w:val="en-GB" w:eastAsia="fr-FR"/>
        </w:rPr>
        <w:t xml:space="preserve">. </w:t>
      </w:r>
      <w:r w:rsidRPr="0010770B">
        <w:rPr>
          <w:rFonts w:eastAsia="Times New Roman" w:cs="Times New Roman"/>
          <w:i/>
          <w:lang w:val="en-GB" w:eastAsia="fr-FR"/>
        </w:rPr>
        <w:t>In revision.</w:t>
      </w:r>
    </w:p>
    <w:p w:rsidR="00A62742" w:rsidRPr="0010770B" w:rsidRDefault="00A62742" w:rsidP="0010770B">
      <w:pPr>
        <w:jc w:val="both"/>
        <w:rPr>
          <w:lang w:val="en-GB"/>
        </w:rPr>
      </w:pPr>
    </w:p>
    <w:p w:rsidR="00A62742" w:rsidRPr="0010770B" w:rsidRDefault="00A62742" w:rsidP="0010770B">
      <w:pPr>
        <w:jc w:val="both"/>
        <w:rPr>
          <w:lang w:val="en-GB"/>
        </w:rPr>
      </w:pPr>
    </w:p>
    <w:p w:rsidR="00A62742" w:rsidRPr="0010770B" w:rsidRDefault="00A62742" w:rsidP="0010770B">
      <w:pPr>
        <w:jc w:val="both"/>
        <w:rPr>
          <w:lang w:val="en-GB"/>
        </w:rPr>
      </w:pPr>
    </w:p>
    <w:sectPr w:rsidR="00A62742" w:rsidRPr="00107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7CFD"/>
    <w:multiLevelType w:val="multilevel"/>
    <w:tmpl w:val="B622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64"/>
    <w:rsid w:val="0010770B"/>
    <w:rsid w:val="001544C3"/>
    <w:rsid w:val="00213CA1"/>
    <w:rsid w:val="002244A4"/>
    <w:rsid w:val="003C6C04"/>
    <w:rsid w:val="00595264"/>
    <w:rsid w:val="00610770"/>
    <w:rsid w:val="00650899"/>
    <w:rsid w:val="007069C7"/>
    <w:rsid w:val="00723E0C"/>
    <w:rsid w:val="00837D0A"/>
    <w:rsid w:val="008826BF"/>
    <w:rsid w:val="009C26B7"/>
    <w:rsid w:val="009C70B8"/>
    <w:rsid w:val="00A2054A"/>
    <w:rsid w:val="00A517EE"/>
    <w:rsid w:val="00A62742"/>
    <w:rsid w:val="00B6070F"/>
    <w:rsid w:val="00B71FA3"/>
    <w:rsid w:val="00C00082"/>
    <w:rsid w:val="00C753D3"/>
    <w:rsid w:val="00C854A5"/>
    <w:rsid w:val="00CB32DE"/>
    <w:rsid w:val="00DC1613"/>
    <w:rsid w:val="00E23C43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DE1A8-D2CE-4C5B-B15F-8D6BE091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C4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71F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1FA3"/>
    <w:pPr>
      <w:spacing w:line="240" w:lineRule="auto"/>
    </w:pPr>
    <w:rPr>
      <w:spacing w:val="-4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1FA3"/>
    <w:rPr>
      <w:spacing w:val="-4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FA3"/>
    <w:rPr>
      <w:rFonts w:ascii="Segoe UI" w:hAnsi="Segoe UI" w:cs="Segoe UI"/>
      <w:sz w:val="18"/>
      <w:szCs w:val="18"/>
    </w:rPr>
  </w:style>
  <w:style w:type="character" w:customStyle="1" w:styleId="period">
    <w:name w:val="period"/>
    <w:basedOn w:val="Policepardfaut"/>
    <w:rsid w:val="00A62742"/>
  </w:style>
  <w:style w:type="character" w:customStyle="1" w:styleId="cit">
    <w:name w:val="cit"/>
    <w:basedOn w:val="Policepardfaut"/>
    <w:rsid w:val="00A62742"/>
  </w:style>
  <w:style w:type="character" w:customStyle="1" w:styleId="citation-doi">
    <w:name w:val="citation-doi"/>
    <w:basedOn w:val="Policepardfaut"/>
    <w:rsid w:val="00A62742"/>
  </w:style>
  <w:style w:type="character" w:customStyle="1" w:styleId="secondary-date">
    <w:name w:val="secondary-date"/>
    <w:basedOn w:val="Policepardfaut"/>
    <w:rsid w:val="00A62742"/>
  </w:style>
  <w:style w:type="paragraph" w:styleId="NormalWeb">
    <w:name w:val="Normal (Web)"/>
    <w:basedOn w:val="Normal"/>
    <w:uiPriority w:val="99"/>
    <w:semiHidden/>
    <w:unhideWhenUsed/>
    <w:rsid w:val="0088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.casas@inrae.fr" TargetMode="External"/><Relationship Id="rId5" Type="http://schemas.openxmlformats.org/officeDocument/2006/relationships/hyperlink" Target="mailto:christine.coudray@inra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Feillet</dc:creator>
  <cp:keywords/>
  <dc:description/>
  <cp:lastModifiedBy>rachel</cp:lastModifiedBy>
  <cp:revision>2</cp:revision>
  <dcterms:created xsi:type="dcterms:W3CDTF">2023-08-16T15:58:00Z</dcterms:created>
  <dcterms:modified xsi:type="dcterms:W3CDTF">2023-08-16T15:58:00Z</dcterms:modified>
</cp:coreProperties>
</file>